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B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Директор\Pictures\2025-04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5-04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E405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05E">
        <w:rPr>
          <w:rFonts w:ascii="Times New Roman" w:eastAsia="Times New Roman" w:hAnsi="Times New Roman" w:cs="Times New Roman"/>
          <w:color w:val="000000"/>
          <w:sz w:val="28"/>
          <w:szCs w:val="28"/>
        </w:rPr>
        <w:t>«Павловская средняя общеобразовательная школа»</w:t>
      </w:r>
    </w:p>
    <w:p w:rsidR="00DC303F" w:rsidRPr="004B3A8B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Pr="006F1516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DC303F" w:rsidRPr="006F1516" w:rsidRDefault="00890DFE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№ 8</w:t>
      </w:r>
      <w:r w:rsidR="00DC303F" w:rsidRPr="006F1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516">
        <w:rPr>
          <w:rFonts w:ascii="Times New Roman" w:eastAsia="Times New Roman" w:hAnsi="Times New Roman" w:cs="Times New Roman"/>
          <w:color w:val="000000"/>
          <w:sz w:val="28"/>
          <w:szCs w:val="28"/>
        </w:rPr>
        <w:t>от 15 мая 2025 г.</w:t>
      </w: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Pr="004B3A8B" w:rsidRDefault="00DC303F" w:rsidP="00890DFE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Pr="004B3A8B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E405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ПРОГРАММА </w:t>
      </w: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E405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ДЕТСКОГО ОЗДОРОВИТЕЛЬНОГО ЛАГЕРЯ </w:t>
      </w: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E405E">
        <w:rPr>
          <w:rFonts w:ascii="Times New Roman" w:eastAsia="Times New Roman" w:hAnsi="Times New Roman" w:cs="Times New Roman"/>
          <w:color w:val="000000"/>
          <w:sz w:val="40"/>
          <w:szCs w:val="40"/>
        </w:rPr>
        <w:t>«РАДУГА»</w:t>
      </w: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E405E">
        <w:rPr>
          <w:rFonts w:ascii="Times New Roman" w:eastAsia="Times New Roman" w:hAnsi="Times New Roman" w:cs="Times New Roman"/>
          <w:color w:val="000000"/>
          <w:sz w:val="40"/>
          <w:szCs w:val="40"/>
        </w:rPr>
        <w:t>«Лето-это маленькая жизнь»</w:t>
      </w: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E405E">
        <w:rPr>
          <w:rFonts w:ascii="Times New Roman" w:eastAsia="Times New Roman" w:hAnsi="Times New Roman" w:cs="Times New Roman"/>
          <w:color w:val="000000"/>
          <w:sz w:val="40"/>
          <w:szCs w:val="40"/>
        </w:rPr>
        <w:t>Для детей с 6 лет 6 месяцев до 17 лет</w:t>
      </w: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E405E">
        <w:rPr>
          <w:rFonts w:ascii="Times New Roman" w:eastAsia="Times New Roman" w:hAnsi="Times New Roman" w:cs="Times New Roman"/>
          <w:color w:val="000000"/>
          <w:sz w:val="40"/>
          <w:szCs w:val="40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26 мая по 16 июня 2025</w:t>
      </w:r>
      <w:r w:rsidRPr="000E405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года</w:t>
      </w:r>
    </w:p>
    <w:p w:rsidR="00FB0285" w:rsidRPr="000E405E" w:rsidRDefault="00FB0285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( 18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дней)</w:t>
      </w:r>
    </w:p>
    <w:p w:rsidR="00DC303F" w:rsidRPr="004B3A8B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Pr="004B3A8B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05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оставитель программы:</w:t>
      </w: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</w:t>
      </w:r>
      <w:r w:rsidRPr="000E4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«ПСОШ»</w:t>
      </w:r>
    </w:p>
    <w:p w:rsidR="00DC303F" w:rsidRPr="000E405E" w:rsidRDefault="00DC303F" w:rsidP="00DC303F">
      <w:pPr>
        <w:shd w:val="clear" w:color="auto" w:fill="FFFFFF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05E">
        <w:rPr>
          <w:rFonts w:ascii="Times New Roman" w:eastAsia="Times New Roman" w:hAnsi="Times New Roman" w:cs="Times New Roman"/>
          <w:color w:val="000000"/>
          <w:sz w:val="28"/>
          <w:szCs w:val="28"/>
        </w:rPr>
        <w:t>Ширяева Т.И.</w:t>
      </w:r>
    </w:p>
    <w:p w:rsidR="00DC303F" w:rsidRPr="004B3A8B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B20" w:rsidRDefault="00A45B20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3F" w:rsidRDefault="00DC303F" w:rsidP="00DC303F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Д.Залесье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Приказ Минпросвещения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Методические рекомендации Минпросвещения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DC303F" w:rsidRPr="00DC303F" w:rsidRDefault="00DC303F" w:rsidP="00DC303F">
      <w:pPr>
        <w:pStyle w:val="a3"/>
        <w:numPr>
          <w:ilvl w:val="0"/>
          <w:numId w:val="1"/>
        </w:numPr>
        <w:spacing w:after="120"/>
        <w:jc w:val="both"/>
        <w:rPr>
          <w:rStyle w:val="a4"/>
          <w:b w:val="0"/>
        </w:rPr>
      </w:pPr>
      <w:r w:rsidRPr="00DC303F">
        <w:rPr>
          <w:rStyle w:val="a4"/>
          <w:b w:val="0"/>
        </w:rPr>
        <w:t xml:space="preserve">Санитарно-эпидемиологические правила и нормативы «Гигиенические требования к устройству, содержанию и организации режима в оздоровительных учреждениях с дневным пребыванием детей в период каникул» (Сан </w:t>
      </w:r>
      <w:proofErr w:type="spellStart"/>
      <w:r w:rsidRPr="00DC303F">
        <w:rPr>
          <w:rStyle w:val="a4"/>
          <w:b w:val="0"/>
        </w:rPr>
        <w:t>ПиН</w:t>
      </w:r>
      <w:proofErr w:type="spellEnd"/>
      <w:r w:rsidRPr="00DC303F">
        <w:rPr>
          <w:rStyle w:val="a4"/>
          <w:b w:val="0"/>
        </w:rPr>
        <w:t xml:space="preserve"> 2.4.4.2599-10); 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C303F" w:rsidRDefault="00DC303F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владеющий коммуникативными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в поведении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9730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7101"/>
      </w:tblGrid>
      <w:tr w:rsidR="00DC303F" w:rsidRPr="004B3A8B" w:rsidTr="00DC303F">
        <w:trPr>
          <w:trHeight w:val="540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  <w:r w:rsidRPr="004B3A8B">
              <w:rPr>
                <w:rStyle w:val="c37"/>
                <w:bCs/>
                <w:color w:val="000000"/>
              </w:rPr>
              <w:t>8.30</w:t>
            </w:r>
            <w:r w:rsidRPr="004B3A8B">
              <w:rPr>
                <w:color w:val="000000"/>
              </w:rPr>
              <w:t xml:space="preserve"> </w:t>
            </w:r>
            <w:r w:rsidRPr="004B3A8B">
              <w:rPr>
                <w:rStyle w:val="c37"/>
                <w:bCs/>
                <w:color w:val="000000"/>
              </w:rPr>
              <w:t>- 8.45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i/>
                <w:color w:val="000000"/>
              </w:rPr>
            </w:pPr>
            <w:r w:rsidRPr="004B3A8B">
              <w:rPr>
                <w:rStyle w:val="c43"/>
                <w:i/>
                <w:color w:val="000000"/>
              </w:rPr>
              <w:t>В</w:t>
            </w:r>
            <w:r w:rsidRPr="004B3A8B">
              <w:rPr>
                <w:rStyle w:val="c33"/>
                <w:bCs/>
                <w:i/>
                <w:color w:val="000000"/>
              </w:rPr>
              <w:t>стреча детей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Мы рады вам! Чтобы быть весь день в порядке, надо делать всем зарядку!</w:t>
            </w:r>
          </w:p>
        </w:tc>
      </w:tr>
      <w:tr w:rsidR="00DC303F" w:rsidRPr="004B3A8B" w:rsidTr="00DC303F">
        <w:trPr>
          <w:trHeight w:val="409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bCs/>
                <w:color w:val="000000"/>
              </w:rPr>
            </w:pPr>
            <w:r w:rsidRPr="004B3A8B">
              <w:rPr>
                <w:rStyle w:val="c37"/>
                <w:bCs/>
                <w:color w:val="000000"/>
              </w:rPr>
              <w:t>8.45 – 9.00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41"/>
                <w:bCs/>
                <w:i/>
                <w:iCs/>
                <w:color w:val="000000"/>
              </w:rPr>
              <w:t>Зарядка</w:t>
            </w:r>
          </w:p>
        </w:tc>
      </w:tr>
      <w:tr w:rsidR="00DC303F" w:rsidRPr="004B3A8B" w:rsidTr="00DC303F">
        <w:trPr>
          <w:trHeight w:val="409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  <w:r w:rsidRPr="004B3A8B">
              <w:rPr>
                <w:rStyle w:val="c37"/>
                <w:bCs/>
                <w:color w:val="000000"/>
              </w:rPr>
              <w:t>9.00-9.30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41"/>
                <w:bCs/>
                <w:i/>
                <w:iCs/>
                <w:color w:val="000000"/>
              </w:rPr>
            </w:pPr>
            <w:r w:rsidRPr="004B3A8B">
              <w:rPr>
                <w:rStyle w:val="c41"/>
                <w:bCs/>
                <w:i/>
                <w:iCs/>
                <w:color w:val="000000"/>
              </w:rPr>
              <w:t>Построение с поднятием флагов РФ и флага лагеря, линейка: объявление плана работы на день</w:t>
            </w:r>
          </w:p>
        </w:tc>
      </w:tr>
      <w:tr w:rsidR="00DC303F" w:rsidRPr="004B3A8B" w:rsidTr="00DC303F">
        <w:trPr>
          <w:trHeight w:val="580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37"/>
                <w:bCs/>
                <w:color w:val="000000"/>
              </w:rPr>
              <w:t>9.30</w:t>
            </w:r>
            <w:r w:rsidRPr="004B3A8B">
              <w:rPr>
                <w:color w:val="000000"/>
              </w:rPr>
              <w:t xml:space="preserve"> – </w:t>
            </w:r>
            <w:r w:rsidRPr="004B3A8B">
              <w:rPr>
                <w:rStyle w:val="c33"/>
                <w:bCs/>
                <w:color w:val="000000"/>
              </w:rPr>
              <w:t>10.00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33"/>
                <w:bCs/>
                <w:i/>
                <w:iCs/>
                <w:color w:val="000000"/>
              </w:rPr>
              <w:t>Завтрак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Каша, чай, кусочек сыра –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вкусно, сытно и красиво.</w:t>
            </w:r>
          </w:p>
        </w:tc>
      </w:tr>
      <w:tr w:rsidR="00DC303F" w:rsidRPr="004B3A8B" w:rsidTr="00DC303F">
        <w:trPr>
          <w:trHeight w:val="740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bCs/>
                <w:color w:val="000000"/>
              </w:rPr>
            </w:pPr>
            <w:r>
              <w:rPr>
                <w:rStyle w:val="c37"/>
                <w:bCs/>
                <w:color w:val="000000"/>
              </w:rPr>
              <w:t>10.00 – 12.2</w:t>
            </w:r>
            <w:r w:rsidRPr="004B3A8B">
              <w:rPr>
                <w:rStyle w:val="c37"/>
                <w:bCs/>
                <w:color w:val="000000"/>
              </w:rPr>
              <w:t>0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5"/>
                <w:color w:val="000000"/>
              </w:rPr>
            </w:pPr>
            <w:r w:rsidRPr="004B3A8B">
              <w:rPr>
                <w:rStyle w:val="c41"/>
                <w:bCs/>
                <w:i/>
                <w:iCs/>
                <w:color w:val="000000"/>
              </w:rPr>
              <w:t>Работа по плану отрядов</w:t>
            </w:r>
            <w:r w:rsidRPr="004B3A8B">
              <w:rPr>
                <w:rStyle w:val="c5"/>
                <w:color w:val="000000"/>
              </w:rPr>
              <w:t xml:space="preserve"> 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Вместе с отрядом сил не жалей, пой, танцуй, рисуй и клей!</w:t>
            </w:r>
          </w:p>
        </w:tc>
      </w:tr>
      <w:tr w:rsidR="00DC303F" w:rsidRPr="004B3A8B" w:rsidTr="00DC303F">
        <w:trPr>
          <w:trHeight w:val="580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bCs/>
                <w:color w:val="000000"/>
              </w:rPr>
            </w:pPr>
            <w:r>
              <w:rPr>
                <w:rStyle w:val="c37"/>
                <w:bCs/>
                <w:color w:val="000000"/>
              </w:rPr>
              <w:t>12.20-13.1</w:t>
            </w:r>
            <w:r w:rsidRPr="004B3A8B">
              <w:rPr>
                <w:rStyle w:val="c37"/>
                <w:bCs/>
                <w:color w:val="000000"/>
              </w:rPr>
              <w:t>0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33"/>
                <w:bCs/>
                <w:i/>
                <w:iCs/>
                <w:color w:val="000000"/>
              </w:rPr>
              <w:t>Обед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Нас столовая зовёт,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суп отличный и компот.</w:t>
            </w:r>
          </w:p>
        </w:tc>
      </w:tr>
      <w:tr w:rsidR="00DC303F" w:rsidRPr="004B3A8B" w:rsidTr="00DC303F">
        <w:trPr>
          <w:trHeight w:val="720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  <w:r w:rsidRPr="004B3A8B">
              <w:rPr>
                <w:rStyle w:val="c37"/>
                <w:bCs/>
                <w:color w:val="000000"/>
              </w:rPr>
              <w:t>13.00 - 14.30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</w:p>
          <w:p w:rsidR="00DC303F" w:rsidRPr="004B3A8B" w:rsidRDefault="00DC303F" w:rsidP="00DC303F">
            <w:pPr>
              <w:pStyle w:val="c7"/>
              <w:spacing w:after="0" w:afterAutospacing="0"/>
              <w:ind w:right="-144"/>
              <w:jc w:val="both"/>
              <w:rPr>
                <w:color w:val="000000"/>
              </w:rPr>
            </w:pP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33"/>
                <w:bCs/>
                <w:i/>
                <w:iCs/>
                <w:color w:val="000000"/>
              </w:rPr>
              <w:t>Игры на свежем воздухе, работа кружков, соревнования между отрядами.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Лишь заслышим зов игры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5"/>
                <w:color w:val="000000"/>
              </w:rPr>
              <w:t>быстро на улицу выбежим мы.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43"/>
                <w:color w:val="000000"/>
              </w:rPr>
              <w:t>Ждёт  нас здесь много забав интересных,  соревнований, прогулок чудесных</w:t>
            </w:r>
          </w:p>
        </w:tc>
      </w:tr>
      <w:tr w:rsidR="00DC303F" w:rsidRPr="004B3A8B" w:rsidTr="00DC303F">
        <w:trPr>
          <w:trHeight w:val="540"/>
        </w:trPr>
        <w:tc>
          <w:tcPr>
            <w:tcW w:w="2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rStyle w:val="c37"/>
                <w:bCs/>
                <w:color w:val="000000"/>
              </w:rPr>
            </w:pP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37"/>
                <w:bCs/>
                <w:color w:val="000000"/>
              </w:rPr>
              <w:t>14.30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41"/>
                <w:bCs/>
                <w:i/>
                <w:iCs/>
                <w:color w:val="000000"/>
              </w:rPr>
              <w:t>Уход домой</w:t>
            </w:r>
          </w:p>
          <w:p w:rsidR="00DC303F" w:rsidRPr="004B3A8B" w:rsidRDefault="00DC303F" w:rsidP="00DC303F">
            <w:pPr>
              <w:pStyle w:val="c7"/>
              <w:spacing w:before="0" w:beforeAutospacing="0" w:after="0" w:afterAutospacing="0"/>
              <w:ind w:right="-144"/>
              <w:jc w:val="both"/>
              <w:rPr>
                <w:color w:val="000000"/>
              </w:rPr>
            </w:pPr>
            <w:r w:rsidRPr="004B3A8B">
              <w:rPr>
                <w:rStyle w:val="c43"/>
                <w:color w:val="000000"/>
              </w:rPr>
              <w:t>До свидания! До новых встреч!</w:t>
            </w:r>
          </w:p>
        </w:tc>
      </w:tr>
    </w:tbl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игры</w:t>
      </w:r>
      <w:r w:rsidR="00D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</w:t>
      </w:r>
      <w:r w:rsidR="00FB0285">
        <w:rPr>
          <w:rFonts w:ascii="Times New Roman" w:hAnsi="Times New Roman" w:cs="Times New Roman"/>
          <w:sz w:val="24"/>
          <w:szCs w:val="24"/>
        </w:rPr>
        <w:t>ьной организаций. Режим работы 6</w:t>
      </w:r>
      <w:r w:rsidRPr="002050D1">
        <w:rPr>
          <w:rFonts w:ascii="Times New Roman" w:hAnsi="Times New Roman" w:cs="Times New Roman"/>
          <w:sz w:val="24"/>
          <w:szCs w:val="24"/>
        </w:rPr>
        <w:t xml:space="preserve">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sz w:val="24"/>
          <w:szCs w:val="24"/>
        </w:rPr>
        <w:lastRenderedPageBreak/>
        <w:t>Медсправка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(форма 079/у)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единое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C303F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D3759A"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DC303F">
      <w:pPr>
        <w:pStyle w:val="a3"/>
        <w:spacing w:before="0" w:beforeAutospacing="0" w:after="0" w:afterAutospacing="0"/>
        <w:ind w:left="1440"/>
      </w:pP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Фестивали, </w:t>
      </w:r>
      <w:proofErr w:type="spellStart"/>
      <w:r w:rsidRPr="00D3759A">
        <w:t>квесты</w:t>
      </w:r>
      <w:proofErr w:type="spellEnd"/>
      <w:r w:rsidRPr="00D3759A">
        <w:t>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3F" w:rsidRDefault="00DC303F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lastRenderedPageBreak/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Оперативное информирование о событиях, фотоотчёты.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 xml:space="preserve">1.3. Заключительный этап 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 xml:space="preserve"> (классы, </w:t>
      </w:r>
      <w:r w:rsidR="00DC303F">
        <w:t>рекреация школы</w:t>
      </w:r>
      <w:r w:rsidRPr="006C1BB9">
        <w:t>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</w:t>
      </w:r>
      <w:r w:rsidR="00DC303F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</w:t>
      </w:r>
      <w:r w:rsidR="00DC303F">
        <w:rPr>
          <w:rStyle w:val="a4"/>
        </w:rPr>
        <w:t>а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</w:t>
      </w:r>
      <w:r w:rsidR="00DC303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неделя (26 мая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="00DC303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31 мая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– </w:t>
      </w:r>
      <w:r w:rsidR="00A27BA4" w:rsidRPr="00A27BA4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БЛОК «ЧЕЛОВЕК: ЗДОРОВЬЕ, БЕЗОПАСНОСТЬ, СЕМЬЯ, ТВОРЧЕСТВО, РАЗВИТИЕ»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</w:t>
      </w:r>
      <w:proofErr w:type="spellStart"/>
      <w:r w:rsidR="00A27BA4">
        <w:t>командообразование</w:t>
      </w:r>
      <w:proofErr w:type="spellEnd"/>
      <w:r w:rsidR="00A27BA4">
        <w:t>, знакомство с правилами лагеря</w:t>
      </w:r>
      <w:r w:rsidRPr="002050D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4576"/>
        <w:gridCol w:w="3771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D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26.05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A27BA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27.05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A27BA4" w:rsidRPr="002050D1" w:rsidTr="00A27BA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28.05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A27BA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A27BA4" w:rsidRDefault="00A27BA4" w:rsidP="00A27BA4">
            <w:pPr>
              <w:rPr>
                <w:rStyle w:val="a4"/>
              </w:rPr>
            </w:pPr>
            <w:r>
              <w:rPr>
                <w:rStyle w:val="a4"/>
              </w:rPr>
              <w:t>29.05 (</w:t>
            </w:r>
            <w:proofErr w:type="spellStart"/>
            <w:r>
              <w:rPr>
                <w:rStyle w:val="a4"/>
              </w:rPr>
              <w:t>чт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«Школа выживания» (с МЧС)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A27BA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30.05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A27BA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A27BA4" w:rsidRDefault="00A27BA4" w:rsidP="00A27BA4">
            <w:pPr>
              <w:rPr>
                <w:rStyle w:val="a4"/>
              </w:rPr>
            </w:pPr>
            <w:r>
              <w:rPr>
                <w:rStyle w:val="a4"/>
              </w:rPr>
              <w:t>31.05 (</w:t>
            </w:r>
            <w:proofErr w:type="spellStart"/>
            <w:r>
              <w:rPr>
                <w:rStyle w:val="a4"/>
              </w:rPr>
              <w:t>сб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представителями «Движения Первых»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 стран)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27BA4" w:rsidRPr="002050D1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</w:tbl>
    <w:p w:rsidR="005A2C34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Default="00A27BA4" w:rsidP="00A27BA4">
      <w:pPr>
        <w:spacing w:after="0" w:line="276" w:lineRule="auto"/>
        <w:ind w:right="-284" w:firstLine="851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2050D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2-я неделя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( 02.06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-07.06)</w:t>
      </w:r>
      <w:r w:rsidRPr="002050D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7BA4">
        <w:rPr>
          <w:rStyle w:val="a4"/>
          <w:rFonts w:ascii="Times New Roman" w:hAnsi="Times New Roman" w:cs="Times New Roman"/>
          <w:bCs w:val="0"/>
          <w:sz w:val="28"/>
          <w:szCs w:val="28"/>
        </w:rPr>
        <w:t>Блок «Мир: наука, культура, мораль»</w:t>
      </w:r>
    </w:p>
    <w:p w:rsidR="00A27BA4" w:rsidRPr="00A27BA4" w:rsidRDefault="00A27BA4" w:rsidP="00A27BA4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A4">
        <w:rPr>
          <w:rFonts w:ascii="Times New Roman" w:hAnsi="Times New Roman" w:cs="Times New Roman"/>
          <w:b/>
          <w:sz w:val="24"/>
          <w:szCs w:val="24"/>
        </w:rPr>
        <w:t>Тема: Познание мира через науку, искусство и нравственные ценности.</w:t>
      </w:r>
    </w:p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4621"/>
        <w:gridCol w:w="3696"/>
      </w:tblGrid>
      <w:tr w:rsidR="00A27BA4" w:rsidRPr="00A27BA4" w:rsidTr="001C21CE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A27BA4" w:rsidRPr="00A27BA4" w:rsidTr="001C21C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02.06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защиты детей»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игровая, конкурсная программа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A27BA4" w:rsidRPr="00A27BA4" w:rsidTr="001C21C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03.06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  (</w:t>
            </w:r>
            <w:proofErr w:type="spellStart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науки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робототехнике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A27BA4" w:rsidRPr="00A27BA4" w:rsidTr="001C21C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04.06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  (ср)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культуры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Эрмитажу/Лувру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7BA4" w:rsidRPr="00A27BA4" w:rsidTr="001C21C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b/>
                <w:bCs/>
              </w:rPr>
              <w:t>05.06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экологии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экологом (гость)</w:t>
            </w:r>
          </w:p>
        </w:tc>
        <w:tc>
          <w:tcPr>
            <w:tcW w:w="0" w:type="auto"/>
            <w:vAlign w:val="center"/>
            <w:hideMark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A27BA4" w:rsidRPr="00A27BA4" w:rsidTr="001C21CE">
        <w:trPr>
          <w:trHeight w:val="2100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A27BA4" w:rsidRPr="00A27BA4" w:rsidRDefault="00A27BA4" w:rsidP="00A27BA4">
            <w:pPr>
              <w:rPr>
                <w:b/>
                <w:bCs/>
              </w:rPr>
            </w:pPr>
            <w:r w:rsidRPr="00A27BA4">
              <w:rPr>
                <w:b/>
                <w:bCs/>
              </w:rPr>
              <w:t>06.06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пт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русского языка (Пушкинский день)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4" w:rsidRPr="00A27BA4" w:rsidTr="001C21CE">
        <w:trPr>
          <w:trHeight w:val="2100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A27BA4" w:rsidRPr="00A27BA4" w:rsidRDefault="00A27BA4" w:rsidP="00A27BA4">
            <w:pPr>
              <w:rPr>
                <w:b/>
                <w:bCs/>
              </w:rPr>
            </w:pPr>
            <w:r>
              <w:rPr>
                <w:b/>
                <w:bCs/>
              </w:rPr>
              <w:t>07.06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7BA4">
              <w:rPr>
                <w:b/>
                <w:bCs/>
              </w:rPr>
              <w:t xml:space="preserve"> (</w:t>
            </w:r>
            <w:proofErr w:type="spellStart"/>
            <w:r w:rsidRPr="00A27BA4">
              <w:rPr>
                <w:b/>
                <w:bCs/>
              </w:rPr>
              <w:t>сб</w:t>
            </w:r>
            <w:proofErr w:type="spellEnd"/>
            <w:r w:rsidRPr="00A27BA4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дружбы народов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культур (презентации стран)</w:t>
            </w:r>
            <w:r w:rsidRPr="00A27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 </w:t>
            </w:r>
            <w:proofErr w:type="spellStart"/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0" w:type="auto"/>
            <w:vAlign w:val="center"/>
          </w:tcPr>
          <w:p w:rsidR="00A27BA4" w:rsidRPr="00A27BA4" w:rsidRDefault="00A27BA4" w:rsidP="00A2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A4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</w:tbl>
    <w:p w:rsidR="00A27BA4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A27BA4" w:rsidRPr="002050D1" w:rsidRDefault="00A27BA4" w:rsidP="005A2C34">
      <w:pPr>
        <w:rPr>
          <w:rFonts w:ascii="Times New Roman" w:hAnsi="Times New Roman" w:cs="Times New Roman"/>
          <w:sz w:val="24"/>
          <w:szCs w:val="24"/>
        </w:rPr>
      </w:pPr>
    </w:p>
    <w:p w:rsidR="008D05BD" w:rsidRDefault="008D05BD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D05BD" w:rsidRDefault="008D05BD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D05BD" w:rsidRDefault="008D05BD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D05BD" w:rsidRDefault="00A27BA4" w:rsidP="008D05BD">
      <w:pPr>
        <w:pStyle w:val="2"/>
        <w:rPr>
          <w:rStyle w:val="a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8D05BD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-я неделя (9–16</w:t>
      </w:r>
      <w:r w:rsidR="005A2C34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«Россия: прошлое, настоящее, будущее»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4201"/>
        <w:gridCol w:w="3931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8D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Виртуальный тур по музеям Москвы/СПб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(подготовка к 12 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  <w:p w:rsidR="008D05BD" w:rsidRPr="002050D1" w:rsidRDefault="008D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D">
              <w:rPr>
                <w:rFonts w:ascii="Times New Roman" w:hAnsi="Times New Roman" w:cs="Times New Roman"/>
                <w:sz w:val="24"/>
                <w:szCs w:val="24"/>
              </w:rPr>
              <w:t>- Парад талантов «Я люблю Россию»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будущего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 лет?»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«Город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молодыми учёными/предпринимателями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4768"/>
        <w:gridCol w:w="3238"/>
      </w:tblGrid>
      <w:tr w:rsidR="008D05BD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D05BD" w:rsidRPr="002050D1" w:rsidRDefault="008D05BD" w:rsidP="008D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14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A200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A2001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05BD" w:rsidRPr="002050D1" w:rsidRDefault="008D05BD" w:rsidP="008D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памяти и славы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0015">
              <w:rPr>
                <w:rFonts w:ascii="Times New Roman" w:hAnsi="Times New Roman" w:cs="Times New Roman"/>
                <w:sz w:val="24"/>
                <w:szCs w:val="24"/>
              </w:rPr>
              <w:t xml:space="preserve">- общее мероприятие «Мы </w:t>
            </w:r>
            <w:proofErr w:type="spellStart"/>
            <w:r w:rsidR="00A20015">
              <w:rPr>
                <w:rFonts w:ascii="Times New Roman" w:hAnsi="Times New Roman" w:cs="Times New Roman"/>
                <w:sz w:val="24"/>
                <w:szCs w:val="24"/>
              </w:rPr>
              <w:t>Помним!Мы</w:t>
            </w:r>
            <w:proofErr w:type="spellEnd"/>
            <w:r w:rsidR="00A20015"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</w:tc>
        <w:tc>
          <w:tcPr>
            <w:tcW w:w="0" w:type="auto"/>
            <w:vAlign w:val="center"/>
            <w:hideMark/>
          </w:tcPr>
          <w:p w:rsidR="008D05BD" w:rsidRPr="002050D1" w:rsidRDefault="008D05BD" w:rsidP="008D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A20015" w:rsidRPr="002050D1" w:rsidTr="00A20015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20015" w:rsidRPr="002050D1" w:rsidRDefault="00A20015" w:rsidP="00A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20015" w:rsidRPr="002050D1" w:rsidRDefault="00A20015" w:rsidP="00A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Прощальный костёр (или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20015" w:rsidRPr="002050D1" w:rsidRDefault="00A20015" w:rsidP="00A2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</w:tbl>
    <w:p w:rsidR="005A2C34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A20015" w:rsidRDefault="00A20015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lastRenderedPageBreak/>
        <w:t>Дополнительные элементы: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Инклюзивный модуль:</w:t>
      </w:r>
      <w:r w:rsidRPr="002050D1">
        <w:t> адаптация мероприятий для детей с ОВЗ.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31"/>
    <w:rsid w:val="001D692D"/>
    <w:rsid w:val="002050D1"/>
    <w:rsid w:val="00327FD9"/>
    <w:rsid w:val="00352EC5"/>
    <w:rsid w:val="0042740A"/>
    <w:rsid w:val="00501131"/>
    <w:rsid w:val="005365B6"/>
    <w:rsid w:val="00547B31"/>
    <w:rsid w:val="00583EFC"/>
    <w:rsid w:val="005A2C34"/>
    <w:rsid w:val="005E68CC"/>
    <w:rsid w:val="00657C60"/>
    <w:rsid w:val="006C1BB9"/>
    <w:rsid w:val="0074581E"/>
    <w:rsid w:val="007965DF"/>
    <w:rsid w:val="00797AD4"/>
    <w:rsid w:val="007F18C4"/>
    <w:rsid w:val="008530E5"/>
    <w:rsid w:val="00890DFE"/>
    <w:rsid w:val="008B13F7"/>
    <w:rsid w:val="008D05BD"/>
    <w:rsid w:val="009D3491"/>
    <w:rsid w:val="00A20015"/>
    <w:rsid w:val="00A27BA4"/>
    <w:rsid w:val="00A416CE"/>
    <w:rsid w:val="00A45B20"/>
    <w:rsid w:val="00A71611"/>
    <w:rsid w:val="00C63C74"/>
    <w:rsid w:val="00CE611F"/>
    <w:rsid w:val="00D3759A"/>
    <w:rsid w:val="00DC303F"/>
    <w:rsid w:val="00DC5A55"/>
    <w:rsid w:val="00DD7760"/>
    <w:rsid w:val="00E85364"/>
    <w:rsid w:val="00E9332B"/>
    <w:rsid w:val="00EB04E3"/>
    <w:rsid w:val="00EC7B5B"/>
    <w:rsid w:val="00F37BBB"/>
    <w:rsid w:val="00F9567F"/>
    <w:rsid w:val="00FB0285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EFE"/>
  <w15:docId w15:val="{EFEA4687-6568-4EFB-987C-9519CC5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A4"/>
  </w:style>
  <w:style w:type="paragraph" w:styleId="2">
    <w:name w:val="heading 2"/>
    <w:basedOn w:val="a"/>
    <w:next w:val="a"/>
    <w:link w:val="20"/>
    <w:uiPriority w:val="9"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7">
    <w:name w:val="c7"/>
    <w:basedOn w:val="a"/>
    <w:rsid w:val="00DC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rsid w:val="00DC303F"/>
  </w:style>
  <w:style w:type="character" w:customStyle="1" w:styleId="c43">
    <w:name w:val="c43"/>
    <w:rsid w:val="00DC303F"/>
  </w:style>
  <w:style w:type="character" w:customStyle="1" w:styleId="c33">
    <w:name w:val="c33"/>
    <w:rsid w:val="00DC303F"/>
  </w:style>
  <w:style w:type="character" w:customStyle="1" w:styleId="c5">
    <w:name w:val="c5"/>
    <w:rsid w:val="00DC303F"/>
  </w:style>
  <w:style w:type="character" w:customStyle="1" w:styleId="c41">
    <w:name w:val="c41"/>
    <w:rsid w:val="00DC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11916</Words>
  <Characters>67927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Директор</cp:lastModifiedBy>
  <cp:revision>5</cp:revision>
  <dcterms:created xsi:type="dcterms:W3CDTF">2025-04-16T11:28:00Z</dcterms:created>
  <dcterms:modified xsi:type="dcterms:W3CDTF">2025-04-16T11:59:00Z</dcterms:modified>
</cp:coreProperties>
</file>